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黑体" w:hAnsi="黑体" w:eastAsia="黑体" w:cs="黑体"/>
          <w:b w:val="0"/>
          <w:bCs w:val="0"/>
          <w:sz w:val="44"/>
          <w:szCs w:val="44"/>
          <w:lang w:val="en-US" w:eastAsia="zh-CN"/>
        </w:rPr>
        <w:t xml:space="preserve">第九讲 </w:t>
      </w:r>
      <w:r>
        <w:rPr>
          <w:rFonts w:hint="eastAsia" w:ascii="黑体" w:hAnsi="黑体" w:eastAsia="黑体" w:cs="黑体"/>
          <w:b w:val="0"/>
          <w:bCs w:val="0"/>
          <w:sz w:val="44"/>
          <w:szCs w:val="44"/>
        </w:rPr>
        <w:t>预防接种异常反应监测研究进展</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val="0"/>
          <w:bCs w:val="0"/>
          <w:sz w:val="32"/>
          <w:szCs w:val="32"/>
        </w:rPr>
        <w:t>福建省疾病预防控制中心</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 xml:space="preserve">林志强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Cs/>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1 前言</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疫苗的发明可谓是生物医学史上具有里程碑意义的事件之一。事实证明也是如此，20世纪70年代世界卫生组织（World Health Organization, WHO）宣布在全球范围内成功地消灭了天花，标志着人类历史上第一次使用疫苗对抗疾病获得了胜利，成为了消灭传染病最成功的典范，疫苗也被公认是预防传染病最经济、最科学、最有效的措施之一。</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疫苗是为了预防、控制传染病的发生、流行，用于人体主动免疫的预防性生物制品。绝大多数人在预防接种后可获得特异性免疫力，但极少数人可能会发生一些除正常免疫应答外的疑似预防接种异常反应（Adverse Events Following Immunization,AEFI），并有可能带来严重的后果。疫苗的研发、研制有着严格、科学的监管程序，但疫苗临床试验阶段时，试验抽样人群相对于疫苗上市后使用人群毕竟有限，而有些疫苗不良反应发生率可能只有十万分之一、甚至百万分之一，某些不良反应也只会在特定人群中出现，而在疫苗临床试验过程中可能并不会包含这些特定人群。因此任何疫苗都不可能百分之百的安全。2008年起我国实施扩大免疫规划政策，疫苗的品种和种类不断增加，疫苗安全事件以及预防接种纠纷不断涌现，国家免疫规划策略面临着新的挑战、问题和矛盾，人民群众关注的焦点也从是否感染某种疾病转移到了因接种疫苗可能带来的健康损害。</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2 疑似预防接种异常反应定义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疑似预防接种异常反应（AEFI）是指在预防接种后发生的怀疑与预防接种有关的反应或事件。AEFI的发生率通常很低，绝大多数是一过性的，是轻微、无害的全身反应或局部反应，比如发热（≤38.5℃）、红肿、硬结；但极少数可能是严重甚至可危及生命的异常反应。这些罕见的AEFI可能不会发现或发生在疫苗上市前的临床试验中，因此建立疫苗上市后的AEFI监测是保障预防接种安全必不可少的措施之一。近年来发生的疫苗安全事件也愈发表明了，如果这些AEFI事件处理不好或不及时，就有可能影响公众对预防接种的认可，对疫苗安全的信心，进而进一步影响到《中华人民共和国传染病防治法》中所规定的适龄儿童实行有计划的预防接种制度的落实，甚至对我国目前疫苗可预防疾病的防控工作产生冲击，造成无法挽回的不良后果。</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3 疫苗上市后AEFI监测</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当前在全球范围内，疫苗上市后AEFI监测措施包括了被动监测、主动监测和开展各种针对性流行病学研究。不同国家和国际组织在根据本地区实际情况后，均建立了AEFI被动监测系统，如乌普萨拉监测中心（Uppsala Monitoring Centre, UMC）是WHO在瑞典建立的全球疫苗安全监测中心，美国于上世纪60年代建立了疫苗不良事件报告系统（Vaccine Adverse Events Reporting System,VAERS），英国则通过国家级药物不良反应自愿报告系统——黄卡系统（Yellow Card Scheme, YCS）监测AEFI。2005年中国CDC建立了全国疑似预防接种异常反应监测系统（China National AEFI Information System, CNAEFIS），该系统是覆盖全国的疫苗上市后AEFI监测系统。被动监测系统是被动的接收AEFI报告，是开展AEFI监测和评估的重要措施，但被动监测有其自身的局限性，如报告的局限性：疫苗受种者和报告责任人不了解而漏报（低估）、公众对某一疫苗安全事件的关注放大（高估）、不同地区间报告的数据质量差异（敏感性不同）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了弥补被动监测的缺陷，很多国家同时也开展了AEFI主动监测，主动搜索和收集相关数据，开展针对性研究（如队列研究、病例对照研究或自身对照病例序列研究等），以验证在被动监测中发现的AEFI异常信号和假设。如1998年英国一位医生提出麻腮风疫苗会引发自闭症这种假设促使了大量的相关研究， 2014年《疫苗》杂志发表的一项涉及总共近130万人的研究与同年的《美国医学会杂志》（The Journal of the American Medical Association, JAMA）同时表明：数以千计接种疫苗和未接种疫苗的儿童之间其罹患孤独症率没有差异。美国曾利用VAERS数据评估了新许可的人乳头瘤病毒疫苗（Human Papillomavirus, HPV）的安全性，从而支持了该疫苗的适应症和接种建议；还利用VAERS数据评估疫苗接种对象中的潜在危险因素，证实了严重联合免疫缺陷综合症是轮状病毒疫苗新的接种禁忌症。</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3.1 全球预防接种异常反应监测进展</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3.1.1 WHO和布莱顿协助组织</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早在1968年WHO就开展了AEFI监测项目，1999年8月成立了全球疫苗安全咨询委员会（Global Advisory Committee on Vaccine Safety, GACVS）。该委员会职责是：当出现全球或区域关注的疫苗安全问题时向WHO提供独立的、权威性的、科学的咨询意见。2015年12月2日~3日GACVS在瑞士日内瓦召开了第33届全球疫苗安全会议，会议的主要内容是探讨了乌普萨拉监测中心侦测到的疫苗安全性信号（如宫颈癌疫苗、疟疾疫苗和天花疫苗的安全性问题等），预防接种后群体性焦虑反应的临床特征和人群分布特征，以及2009年H1N1大流行期间流感疫苗和发作性睡病关系。</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除了WHO，2000年建立的布莱顿协作组织（Brighton Collaboration）是一个国际志愿组织，也对全球AEFI监测发展起到了十分重要的作用。该组织主要任务是标化AEFI病例资料数据、制定标准化AEFI病例定义、评价预防接种不良反应事件，最终是为了提高全球各个国家不同模式下AEFI监测系统和回顾性分析AEFI资料的可比性。自2004年至今已推出30条AEFI病例定义，免费提供给各国参阅。2008年该组织利用美国VAERS数据对最初制定的6个病例定义，进行特异性、敏感性、可靠性等方面分析评价，其结果表明最初制定的6个病例定义是令人信服的。在统一的病例定义、临床诊断及因果关系推断标准下，才能将各个国家的AEFI监测数据进行比较，如比较不同地区、不同人群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3.1.2 北美洲国家</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北美洲的美国和加拿大分别在上世纪80年代就分别建立了疫苗不良反应监测系统，在全球AEFI监测中均发挥了巨大的作用。</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美国疫苗不良反应主动监测系统包括疫苗安全数据链接系统（Vaccine Safety Datalink,VSD）、上市许可后快速免疫安全性监测系统（Post-licensure Rapid Immunization Safety Monitoring Systems,PRISM）以及临床免疫安全性项目（Clinical Immunization Safety Assessment Project, CISA）等。美国疾病预防和控制中心于1986年建立了由美国CDC和FDA共同管理的AEFI被动监测系统（VAERS）。任何人（医生，护士，疫苗生产商和任何公众）在疫苗接种后发生的任何健康问题都可以通过美国CDC网站、传真或邮件等方式向VAERS提交报告。接到报告后，VAERS工作人员会主动联系报告者以获得更多个案信息。VAERS每年可以收到约3万例报告，约13%为严重不良反应（如致残、住院、危及生命的疾病或与死亡有关），另有85%</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90%病例为轻微反应，如发热（≤38.5℃）、局部反应、哭泣或轻度易激惹。VAERS的良好运转为及时发现新的、罕见的疫苗安全问题、传播接种疫苗好处远远大于接种风险的知识提供了可靠保障。值得注意的是，每年有超过2.2亿剂疫苗在美国分发，这更加突显了VAERS的重要性。而VSD主要目的是为了定点监测疫苗的安全性，并对罕见、严重的AEFI进行研究。自1990年以来，VSD的研究者们发表了许多关于疫苗安全的专题研究，包括儿童免疫程序白皮书、疫苗添加剂对儿童是否安全、含有防腐剂疫苗的安全性、轮状病毒疫苗对婴儿是否安全、接种疫苗是否导致发热、HPV接种是否安全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加拿大预防接种异常反应监测系统（Canadian Adverse Events following Immunization Surveillance System, CAEFISS）是由加拿大卫生署（Public Health Agency of Canada）建立的针对疫苗上市后AEFI被动监测系统。CAEFISS中超过90%的病例由提供免疫接种服务的医生、护士或药剂师报告，同时疫苗生产厂家也可以向CAEFISS报告严重以及所有未发现（包括严重和非严重）的不良事件，但这一部分报告占比不超过5%。此外加拿大还为一些特定的严重AEFI（包括但不仅限于热性惊厥、神经系统反应、血小板减少症、严重的疫苗接种部位反应和肠套叠等）专门成立了一个预防接种监测项目（Immunization Monitoring Program, Active, IMPACT）。IMPACT是由加拿大儿科协会（Canadian Pediatric Society, CPS）负责管理，由加拿大12所儿科医院组成的国家主动监测网络，这12所儿科医院承担了加拿大90%以上的儿童医疗保健服务。IMPACT还通过收集百日咳杆菌、流感病毒、轮状病毒、水痘/带状疱疹病毒、流感嗜血杆菌、脑膜炎奈瑟菌、肺炎链球菌等能引起侵入性感染病例的信息，评估这些疫苗可预防疾病的严重性和流行趋势，评价这些疫苗接种的好处。IMPACT除了支持国家公共卫生行动外，还进一步拓展了加拿大AEFI监测的范围，是CAEFISS的有益补充。</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3.1.3 欧洲国家</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英国YCS是专门的药品不良反应监测系统，因报告系统所用的报告卡为黄色，故称为黄卡系统。该系统同时也负责AEFI监测。自上世纪60年代实施黄卡制度以来，其监测范围从预防、诊断、治疗的药品不良反应监测扩展到对所有可能影响用药安全的影响因素监测，即用药安全警戒，疫苗安全监测也在其列。</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2005年欧盟成立了欧盟CDC（European CDC, ECDC），负责欧盟成员国AEFI评估工作。2007年ECDC试运行了针对疫苗使用安全的疫苗不良事件监测和沟通项目（Vaccine Adverse Event Surveillance ＆ Communication, VAESCO）。2009年为了加强欧盟AEFI监测工作，提高AEFI报告和评估水平，ECDC参照美国VSD建立一个覆盖全成员国的AEFI主动监测系统：欧洲疫苗安全数据链接系统（European Vaccine Safety Data-linkage System, E-VSD）。各成员国通过E-VSD将收集的AEFI病例数据整合交换给欧盟数据中心，欧盟数据中心也可根据工作需要，在特定国搜索疫苗安全重点关注事件。ECDC通过分析VAESCO和E-VSD数据进行分析研究，初步获得了H1N1流感疫苗和发作性睡病、吉兰-巴雷综合征，麻腮风疫苗和血小板减少性紫癜等所关注不良反应的标化基础发病率资料。</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bCs/>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4 我国预防接种异常反应监测系统和国家疫苗监管体系</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我国AEFI监测工作相对于美国等发达国家起步较晚，1980年卫生部颁布了《预防接种后异常反应和事故的处理办法（试行）》，该办法对指导全国各地规范、科学地处置预防接种纠纷发挥了巨大作用。由于各种历史原因，当时国家和各省并未建立专门的AEFI报告和监测系统。随着国家综合实力的不断提升及免疫规划工作的不断发展，疫苗种类和使用数量的不断增加，人民群众对预防接种认识和服务需求的日益提高，AEFI越来越受到公众的普遍关注。自上世纪80年代开始，北京、上海、江苏等省先后尝试和建立了各自的AEFI监测系统，并开始收集AEFI病例报告。但各地收集的AEFI病例定义和分类方法各不相同，报告的范围和程序也不统一。在可以查到的文献中，2005年之前各省建立的AEFI监测系统仍缺乏对上报的病例开展分类诊断和因果关联评估，因此各省监测资料也难以进行系统性分析评价。</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为了做好AEFI监测工作，提升人民群众对预防接种工作的认可度和信任度，探索建立符合中国国情的AEFI监测模式，2005年3月中国疾病预防控制中心（China Center for Disease Control and Prevention, China CDC）在WHO的协助下，开始在北京、上海、广东、河北、湖北等10个省逐步启动了统一的AEFI监测系统试点工作，为今后在全国范围内开展统一的AEFI监测提供了宝贵的经验和依据。试点省份采用由WHO统一制定和推荐的AEFI定义，按发生原因进行了统一分类、诊断。2007年刘大卫对10个试点省份的监测数据进行分析，结果显示10个省份在2005</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2006年共报告发生AEFI个案4663例，国家免疫规划（National Immunization Program, NIP）疫苗AEFI发生率均未超过WHO的预期发生率，表明国产NIP疫苗安全性是肯定的；但由于试点省份总体监测敏感性不高，绝大多数疫苗尚无法判定不同品种或批号之间报告发生率有无差异。</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过3年试点监测，在总结试点工作经验的基础上，CCDC于2007年建立全国AEFI监测系统，于2008年1月1日起实施全国监测，至此全国开始有了统一的监测系统、统一的监测标准、统一的监测指标。为了进一步指导和规范全国AEFI监测，卫生部、国家食品药品监督管理局于2010年共同制定《全国疑似预防接种异常反应监测方案》，该监测方案为我国完善AEFI监测工作、提升AEFI监测能力提供了法规依据。2012年我国AEFI监测系统个案报告覆盖到所有省份和新疆生产建设兵团。</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过不懈努力，2011年和2014年我国分别通过了WHO的国家疫苗监管能力首次评估和再次评估，我国的AEFI监测工作水平、国家疫苗监管能力获得了WHO的肯定，达到了WHO的全部标准。但与世界其他发达国家的疫苗安全监管体系相比，我国的疫苗上市后AEFI监测系统仍需要不断完善和提高。主要表现为：1、被动监测为主、主动监测不足，2、被动监测系统数据利用率不高，缺乏各数据间横向比较，3、虽然已经具备了开展主动监测的能力，但医院的病案管理系统和预防接种单位的儿童预防接种信息管理系统尚无法实现数据共享、对接；4、在因果关联评估、因果推断上还需要建立更多严格设计的流行病学分析方法，如队列研究、病例对照研究或自身对照病例序列研究等针对性流行病学设计和分析方法。</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5 我国现行AEFI监测与处置</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5.1 报告范围</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疑似预防接种异常反应报告范围按照发生时限分为以下情形：</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24小时内：</w:t>
      </w:r>
      <w:r>
        <w:rPr>
          <w:rFonts w:hint="eastAsia" w:ascii="仿宋_GB2312" w:hAnsi="仿宋_GB2312" w:eastAsia="仿宋_GB2312" w:cs="仿宋_GB2312"/>
          <w:bCs/>
          <w:sz w:val="32"/>
          <w:szCs w:val="32"/>
        </w:rPr>
        <w:t>如过敏性休克、不伴休克的过敏反应（荨麻疹、斑丘疹、喉头水肿等）、中毒性休克综合征、晕厥、癔症等。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5天内：</w:t>
      </w:r>
      <w:r>
        <w:rPr>
          <w:rFonts w:hint="eastAsia" w:ascii="仿宋_GB2312" w:hAnsi="仿宋_GB2312" w:eastAsia="仿宋_GB2312" w:cs="仿宋_GB2312"/>
          <w:bCs/>
          <w:sz w:val="32"/>
          <w:szCs w:val="32"/>
        </w:rPr>
        <w:t>如发热 (腋温≥38.6℃)、血管性水肿、全身化脓性感染（毒血症、败血症、脓毒血症）、接种部位发生的红肿（直径&gt;2.5cm）、硬结（直径&gt;2.5cm）、局部化脓性感染（局部脓肿、淋巴管炎和淋巴结炎、蜂窝组织炎）等。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15天内：</w:t>
      </w:r>
      <w:r>
        <w:rPr>
          <w:rFonts w:hint="eastAsia" w:ascii="仿宋_GB2312" w:hAnsi="仿宋_GB2312" w:eastAsia="仿宋_GB2312" w:cs="仿宋_GB2312"/>
          <w:bCs/>
          <w:sz w:val="32"/>
          <w:szCs w:val="32"/>
        </w:rPr>
        <w:t>如麻疹样或猩红热样皮疹、过敏性紫癜、局部过敏坏死反应(Arthus反应)、热性惊厥、癫痫、多发性神经炎、脑病、脑炎和脑膜炎等。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6周内：</w:t>
      </w:r>
      <w:r>
        <w:rPr>
          <w:rFonts w:hint="eastAsia" w:ascii="仿宋_GB2312" w:hAnsi="仿宋_GB2312" w:eastAsia="仿宋_GB2312" w:cs="仿宋_GB2312"/>
          <w:bCs/>
          <w:sz w:val="32"/>
          <w:szCs w:val="32"/>
        </w:rPr>
        <w:t>如血小板减少性紫癜、格林巴利综合征、疫苗相关麻痹型脊髓灰质炎等。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3个月内：</w:t>
      </w:r>
      <w:r>
        <w:rPr>
          <w:rFonts w:hint="eastAsia" w:ascii="仿宋_GB2312" w:hAnsi="仿宋_GB2312" w:eastAsia="仿宋_GB2312" w:cs="仿宋_GB2312"/>
          <w:bCs/>
          <w:sz w:val="32"/>
          <w:szCs w:val="32"/>
        </w:rPr>
        <w:t>如臂丛神经炎、接种部位发生的无菌性脓肿等。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接种卡介苗后1—12个月：</w:t>
      </w:r>
      <w:r>
        <w:rPr>
          <w:rFonts w:hint="eastAsia" w:ascii="仿宋_GB2312" w:hAnsi="仿宋_GB2312" w:eastAsia="仿宋_GB2312" w:cs="仿宋_GB2312"/>
          <w:bCs/>
          <w:sz w:val="32"/>
          <w:szCs w:val="32"/>
        </w:rPr>
        <w:t>如淋巴结炎或淋巴管炎、骨髓炎、全身播散性卡介苗感染等。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其他：</w:t>
      </w:r>
      <w:r>
        <w:rPr>
          <w:rFonts w:hint="eastAsia" w:ascii="仿宋_GB2312" w:hAnsi="仿宋_GB2312" w:eastAsia="仿宋_GB2312" w:cs="仿宋_GB2312"/>
          <w:bCs/>
          <w:sz w:val="32"/>
          <w:szCs w:val="32"/>
        </w:rPr>
        <w:t>怀疑与预防接种有关的其他严重疑似预防接种异常反应。</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5.2 报告单位和报告人</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医疗机构、接种单位、疾病预防控制机构、药品不良反应监测机构、疫苗生产企业、疫苗批发企业及其执行职务的人员为疑似预防接种异常反应的责任报告单位和报告人。</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5.3 报告程序</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疑似预防接种异常反应报告实行属地化管理。责任报告单位和报告人发现属于报告范围的疑似预防接种异常反应（包括接到受种者或其监护人的报告）后应当及时向受种者所在地的县级卫生行政部门、药品监督管理部门报告。发现怀疑与预防接种有关的死亡、严重残疾、群体性疑似预防接种异常反应、对社会有重大影响的疑似预防接种异常反应时，责任报告单位和报告人应当在发现后2小时内向所在地县级卫生行政部门、药品监督管理部门报告；县级卫生行政部门和药品监督管理部门在2小时内逐级向上一级卫生行政部门、药品监督管理部门报告。</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责任报告单位和报告人应当在发现疑似预防接种异常反应后48小时内填写疑似预防接种异常反应个案报告卡，向受种者所在地的县级疾病预防控制机构报告；发现怀疑与预防接种有关的死亡、严重残疾、群体性疑似预防接种异常反应、对社会有重大影响的疑似预防接种异常反应时，在2小时内填写疑似预防接种异常反应个案报告卡或群体性疑似预防接种异常反应登记表，以电话等最快方式向受种者所在地的县级疾病预防控制机构报告。县级疾病预防控制机构经核实后立即通过全国预防接种信息管理系统进行网络直报。各级疾病预防控制机构和药品不良反应监测机构应当通过全国预防接种信息管理系统实时监测疑似预防接种异常反应报告信息。</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对于死亡或群体性疑似预防接种异常反应，同时还应当按照《突发公共卫生事件应急条例》的有关规定进行报告。</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5.4 调查诊断</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除明确诊断的一般反应（如单纯发热、接种部位的红肿、硬结等）外的疑似预防接种异常反应均需调查。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县级疾病预防控制机构对需要调查的疑似预防接种异常反应，应当在接到报告后48小时内组织开展调查，收集相关资料，并在调查开始后3日内初步完成疑似预防接种异常反应个案调查表的填写，并通过全国预防接种信息管理系统进行网络直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怀疑与预防接种有关的死亡、严重残疾、群体性疑似预防接种异常反应、对社会有重大影响的疑似预防接种异常反应，由市级或省级疾病预防控制机构在接到报告后立即组织预防接种异常反应调查诊断专家组进行调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对于死亡或群体性疑似预防接种异常反应，同时还应当按照《突发公共卫生事件应急条例》的有关规定进行调查。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县级卫生行政部门、药品监督管理部门接到疑似预防接种异常反应报告后，对需要进行调查诊断的，交由县级疾病预防控制机构组织专家进行调查诊断。死亡、严重残疾、群体性疑似预防接种异常反应、对社会有重大影响的疑似预防接种异常反应，由市级或省级疾病预防控制机构组织预防接种异常反应调查诊断专家组进行调查诊断。</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疑似预防接种异常反应的调查诊断结论应当在调查结束后30天内尽早作出。调查诊断专家组应当依据法律、行政法规、部门规章和技术规范，结合临床表现、医学检查结果和疫苗质量检验结果等，进行综合分析，作出调查诊断结论。</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调查诊断怀疑引起疑似预防接种异常反应的疫苗有质量问题的，药品监督管理部门负责组织对相关疫苗质量进行检验，出具检验结果报告。药品监督管理部门或药品检验机构应当及时将疫苗质量检测结果向相关疾病预防控制机构反馈。</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5.5 病例分类</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疑似预防接种异常反应经过调查诊断分析，按发生原因分成以下五种类型：</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1.不良反应：</w:t>
      </w:r>
      <w:r>
        <w:rPr>
          <w:rFonts w:hint="eastAsia" w:ascii="仿宋_GB2312" w:hAnsi="仿宋_GB2312" w:eastAsia="仿宋_GB2312" w:cs="仿宋_GB2312"/>
          <w:bCs/>
          <w:sz w:val="32"/>
          <w:szCs w:val="32"/>
        </w:rPr>
        <w:t>合格的疫苗在实施规范接种后，发生的与预防接种目的无关或意外的有害反应，包括一般反应和异常反应。</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（1）一般反应：</w:t>
      </w:r>
      <w:r>
        <w:rPr>
          <w:rFonts w:hint="eastAsia" w:ascii="仿宋_GB2312" w:hAnsi="仿宋_GB2312" w:eastAsia="仿宋_GB2312" w:cs="仿宋_GB2312"/>
          <w:bCs/>
          <w:sz w:val="32"/>
          <w:szCs w:val="32"/>
        </w:rPr>
        <w:t>在预防接种后发生的，由疫苗本身所固有的特性引起的，对机体只会造成一过性生理功能障碍的反应，主要有发热和局部红肿，同时可能伴有全身不适、倦怠、食欲不振、乏力等综合症状。</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（2）异常反应：</w:t>
      </w:r>
      <w:r>
        <w:rPr>
          <w:rFonts w:hint="eastAsia" w:ascii="仿宋_GB2312" w:hAnsi="仿宋_GB2312" w:eastAsia="仿宋_GB2312" w:cs="仿宋_GB2312"/>
          <w:bCs/>
          <w:sz w:val="32"/>
          <w:szCs w:val="32"/>
        </w:rPr>
        <w:t>合格的疫苗在实施规范接种过程中或者实施规范接种后造成受种者机体组织器官、功能损害，相关各方均无过错的药品不良反应。</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2.疫苗质量事故：</w:t>
      </w:r>
      <w:r>
        <w:rPr>
          <w:rFonts w:hint="eastAsia" w:ascii="仿宋_GB2312" w:hAnsi="仿宋_GB2312" w:eastAsia="仿宋_GB2312" w:cs="仿宋_GB2312"/>
          <w:bCs/>
          <w:sz w:val="32"/>
          <w:szCs w:val="32"/>
        </w:rPr>
        <w:t>由于疫苗质量不合格，接种后造成受种者机体组织器官、功能损害。</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3.接种事故：</w:t>
      </w:r>
      <w:r>
        <w:rPr>
          <w:rFonts w:hint="eastAsia" w:ascii="仿宋_GB2312" w:hAnsi="仿宋_GB2312" w:eastAsia="仿宋_GB2312" w:cs="仿宋_GB2312"/>
          <w:bCs/>
          <w:sz w:val="32"/>
          <w:szCs w:val="32"/>
        </w:rPr>
        <w:t>由于在预防接种实施过程中违反预防接种工作规范、免疫程序、疫苗使用指导原则、接种方案，造成受种者机体组织器官、功能损害。</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4.偶合症：</w:t>
      </w:r>
      <w:r>
        <w:rPr>
          <w:rFonts w:hint="eastAsia" w:ascii="仿宋_GB2312" w:hAnsi="仿宋_GB2312" w:eastAsia="仿宋_GB2312" w:cs="仿宋_GB2312"/>
          <w:bCs/>
          <w:sz w:val="32"/>
          <w:szCs w:val="32"/>
        </w:rPr>
        <w:t>受种者在接种时正处于某种疾病的潜伏期或者前驱期，接种后巧合发病。</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val="0"/>
          <w:sz w:val="32"/>
          <w:szCs w:val="32"/>
        </w:rPr>
        <w:t>5.心因性反应：</w:t>
      </w:r>
      <w:r>
        <w:rPr>
          <w:rFonts w:hint="eastAsia" w:ascii="仿宋_GB2312" w:hAnsi="仿宋_GB2312" w:eastAsia="仿宋_GB2312" w:cs="仿宋_GB2312"/>
          <w:bCs/>
          <w:sz w:val="32"/>
          <w:szCs w:val="32"/>
        </w:rPr>
        <w:t>在预防接种实施过程中或接种后因受种者心理因素发生的个体或者群体的反应。</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 xml:space="preserve">附测试题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1、疑似预防接种异常反应是指在预防接种后发生的怀疑与预防接种有关的反应或事件，其英文简写为（</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A、AEEI               B、AEFI               C、AFFI</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D、AFEI               E、AFII</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以下哪些反应常见于预防接种后24小时内发生（</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A、过敏性休克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B、过敏反应        C、晕厥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D、癔症                      E、卡介苗淋巴结炎</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以下哪些机构和个人属于预防接种异常反应的责任报告单位和报告人（</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A、医疗机构                B、接种单位</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C、疾病预防控制机构      D、药品不良反应监测机构</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E、疫苗上市许可持有人</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发现怀疑与预防接种有关的死亡、严重残疾、群体性疑似预防接种异常反应、对社会有重大影响的疑似预防接种异常反应时，责任报告单位和报告人应当在发现后2小时内向哪些机构报告（</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A、县级医疗机构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B、乡级接种单位</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C、县级卫生行政部门</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D、县级疾病预防控制机构E、县级药品监督管理部门</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以怀疑与预防接种有关的死亡、严重残疾、群体性疑似预防接种异常反应、对社会有重大影响的疑似预防接种异常反应，应当由哪一级疾控机构来组织调查诊断专家组进行调查（</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A、县级        B、市级        C、省级      D、国家级6、疑似预防接种异常反应的调查诊断结论应当在调查结束后多少天内尽早作出？（</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A、20                B、30                C、40</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D、50                E、60</w:t>
      </w:r>
    </w:p>
    <w:p>
      <w:pPr>
        <w:keepNext w:val="0"/>
        <w:keepLines w:val="0"/>
        <w:pageBreakBefore w:val="0"/>
        <w:widowControl w:val="0"/>
        <w:numPr>
          <w:ilvl w:val="0"/>
          <w:numId w:val="1"/>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疑似预防接种异常反应当中的不良反应，可以分为哪两类（</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A、一般反应        B、异常反应           C、全身反应</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D、局部反应        E、心因性反应</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8、</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下列哪些因素可以认定为疫苗质量事故（</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A、假冒疫苗     B、伪劣疫苗     C、合格疫苗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D、过期疫苗     E、以上都是</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9、</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接种事故是指在预防接种实施过程中违反了以下哪些规定造成的（</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A、预防接种工作规范     B、免疫程序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C、疫苗使用指导原则</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 xml:space="preserve">D、接种方案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 xml:space="preserve"> E、受种者意愿</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10、</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多选</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sz w:val="32"/>
          <w:szCs w:val="32"/>
        </w:rPr>
        <w:t>疫苗接种后，下列哪些情况需要组织调查（</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A、发热（体温＜37.2℃）        B、局部红肿（直径＜2.5cm）C、局部硬结（直径＜2.5cm）</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D、血小板减少性紫癜</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E、喉头水肿</w:t>
      </w:r>
    </w:p>
    <w:p>
      <w:pPr>
        <w:rPr>
          <w:rFonts w:hint="eastAsia" w:ascii="仿宋_GB2312" w:hAnsi="仿宋_GB2312" w:eastAsia="仿宋_GB2312" w:cs="仿宋_GB2312"/>
          <w:b w:val="0"/>
          <w:bCs/>
          <w:sz w:val="32"/>
          <w:szCs w:val="32"/>
        </w:rPr>
      </w:pP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52FEF"/>
    <w:multiLevelType w:val="singleLevel"/>
    <w:tmpl w:val="60652FEF"/>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2B4E9F"/>
    <w:rsid w:val="1D185AE0"/>
    <w:rsid w:val="27D64D2B"/>
    <w:rsid w:val="32B701C3"/>
    <w:rsid w:val="39C721BF"/>
    <w:rsid w:val="3E707947"/>
    <w:rsid w:val="474240A0"/>
    <w:rsid w:val="4B136CCB"/>
    <w:rsid w:val="4D8C061A"/>
    <w:rsid w:val="4FE43CE2"/>
    <w:rsid w:val="7CDA053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qFormat/>
    <w:uiPriority w:val="1"/>
  </w:style>
  <w:style w:type="table" w:default="1" w:styleId="6">
    <w:name w:val="Normal Table"/>
    <w:qFormat/>
    <w:uiPriority w:val="99"/>
    <w:tblPr>
      <w:tblLayout w:type="fixed"/>
      <w:tblCellMar>
        <w:top w:w="0" w:type="dxa"/>
        <w:left w:w="108" w:type="dxa"/>
        <w:bottom w:w="0" w:type="dxa"/>
        <w:right w:w="108" w:type="dxa"/>
      </w:tblCellMar>
    </w:tblPr>
  </w:style>
  <w:style w:type="paragraph" w:styleId="2">
    <w:name w:val="Balloon Text"/>
    <w:basedOn w:val="1"/>
    <w:link w:val="7"/>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5"/>
    <w:link w:val="2"/>
    <w:qFormat/>
    <w:uiPriority w:val="99"/>
    <w:rPr>
      <w:sz w:val="18"/>
      <w:szCs w:val="18"/>
    </w:rPr>
  </w:style>
  <w:style w:type="character" w:customStyle="1" w:styleId="8">
    <w:name w:val="页眉 字符"/>
    <w:basedOn w:val="5"/>
    <w:link w:val="4"/>
    <w:qFormat/>
    <w:uiPriority w:val="99"/>
    <w:rPr>
      <w:sz w:val="18"/>
      <w:szCs w:val="18"/>
    </w:rPr>
  </w:style>
  <w:style w:type="character" w:customStyle="1" w:styleId="9">
    <w:name w:val="页脚 字符"/>
    <w:basedOn w:val="5"/>
    <w:link w:val="3"/>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FJCDC</Company>
  <Pages>7</Pages>
  <Words>7633</Words>
  <Characters>8933</Characters>
  <Lines>0</Lines>
  <Paragraphs>98</Paragraphs>
  <ScaleCrop>false</ScaleCrop>
  <LinksUpToDate>false</LinksUpToDate>
  <CharactersWithSpaces>9437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2021-03-23T10:28:00Z</dcterms:created>
  <dc:creator>cjkuser5</dc:creator>
  <cp:lastModifiedBy>user</cp:lastModifiedBy>
  <dcterms:modified xsi:type="dcterms:W3CDTF">2021-04-01T09:13:19Z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